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华康简标题宋" w:hAnsi="华康简标题宋" w:eastAsia="华康简标题宋" w:cs="华康简标题宋"/>
          <w:bCs/>
          <w:sz w:val="44"/>
          <w:szCs w:val="44"/>
        </w:rPr>
      </w:pPr>
      <w:bookmarkStart w:id="2" w:name="_GoBack"/>
      <w:r>
        <w:rPr>
          <w:rFonts w:hint="eastAsia" w:ascii="华康简标题宋" w:hAnsi="华康简标题宋" w:eastAsia="华康简标题宋" w:cs="华康简标题宋"/>
          <w:bCs/>
          <w:sz w:val="44"/>
          <w:szCs w:val="44"/>
        </w:rPr>
        <w:t>“倍增计划”试点企业科技创新人才培养</w:t>
      </w:r>
    </w:p>
    <w:p>
      <w:pPr>
        <w:jc w:val="center"/>
        <w:rPr>
          <w:rFonts w:hint="eastAsia" w:ascii="仿宋_GB2312" w:eastAsia="仿宋_GB2312"/>
          <w:sz w:val="31"/>
          <w:szCs w:val="31"/>
        </w:rPr>
      </w:pPr>
      <w:r>
        <w:rPr>
          <w:rFonts w:hint="eastAsia" w:ascii="华康简标题宋" w:hAnsi="华康简标题宋" w:eastAsia="华康简标题宋" w:cs="华康简标题宋"/>
          <w:bCs/>
          <w:sz w:val="44"/>
          <w:szCs w:val="44"/>
        </w:rPr>
        <w:t>实施方案</w:t>
      </w:r>
    </w:p>
    <w:bookmarkEnd w:id="2"/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黑体" w:hAnsi="黑体" w:eastAsia="黑体"/>
          <w:b/>
          <w:bCs/>
          <w:sz w:val="31"/>
          <w:szCs w:val="31"/>
        </w:rPr>
        <w:t xml:space="preserve">    一、项目背景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为实现东莞高水平崛起的宏伟目标，东莞市政府继2015年实施“东莞制造2025”战略，2016年聚焦机器人智能制造之后，2017年市政府“一号文”重点聚焦企业“倍增计划”。该文件以民营制造企业、外商投资企业、已上市或已挂“新三板”企业、高成长性高新技术企业四个类别214家企业作为市一级“倍增计划”试点（其中14家为名誉试点企业），提出20条深化供给体系改革措施，以实际举措和超强力度支持企业倍增发展，力促这些试点企业在“十三五”期间实现收入和资产等规模指标，以及利润等效益指标的“倍增”，让东莞力争五年内跻身“万亿GDP俱乐部”。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创新型科技人才，是企业发展的中流砥柱。东莞市2017年“一号文”着重提出要保证创新人才要素供给，夯实高端发展根基，支持引进优质人才，留住骨干人才，做好“引才、留才、教育”等三方面的工作。市科协将为企业提供高端科技人才对接、企业科技人员创新技能提升、前沿科技信息分享以及最新科技政策交流等服务，为市委市政府与社会企业搭建一个畅通、高效的创新型科技交流平台。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2017年，东莞市科学技术协会将启动“倍增计划”试点企业科技创新人才培养工作，以为“倍增计划”试点企业科技人才革新思维理念、提升专业技能、激发工作激情为出发点，为企业科技人员提供“创新技能人才培养”等方面的专题培训，全面提升试点企业科技人员的专业技能，为企业培养一支充满创新活力与技能素质过硬的科技人才团队，为企业实现“倍增计划”提供人才与智力支持。</w:t>
      </w:r>
    </w:p>
    <w:p>
      <w:pPr>
        <w:rPr>
          <w:rFonts w:hint="eastAsia" w:ascii="黑体" w:hAnsi="黑体" w:eastAsia="黑体"/>
          <w:b/>
          <w:bCs/>
          <w:sz w:val="31"/>
          <w:szCs w:val="31"/>
        </w:rPr>
      </w:pPr>
      <w:r>
        <w:rPr>
          <w:rFonts w:hint="eastAsia" w:ascii="黑体" w:hAnsi="黑体" w:eastAsia="黑体"/>
          <w:b/>
          <w:bCs/>
          <w:sz w:val="31"/>
          <w:szCs w:val="31"/>
        </w:rPr>
        <w:t xml:space="preserve">    二、项目内容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（一）专业技能提升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1.创新工程师培养（1-6天） 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2.项目管理师培养（2-6天）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3.专利工程师培养（3天）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（二）人才成长服务</w:t>
      </w:r>
    </w:p>
    <w:p>
      <w:pPr>
        <w:numPr>
          <w:ilvl w:val="0"/>
          <w:numId w:val="1"/>
        </w:num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职称晋升服务：(1)职称申报政策解读（半天）；(2)职称申报辅导（1-3天）</w:t>
      </w:r>
    </w:p>
    <w:p>
      <w:pPr>
        <w:numPr>
          <w:ilvl w:val="0"/>
          <w:numId w:val="1"/>
        </w:num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心理健康咨询服务（2-9天）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</w:t>
      </w:r>
      <w:r>
        <w:rPr>
          <w:rFonts w:hint="eastAsia" w:ascii="黑体" w:hAnsi="黑体" w:eastAsia="黑体"/>
          <w:b/>
          <w:bCs/>
          <w:sz w:val="31"/>
          <w:szCs w:val="31"/>
        </w:rPr>
        <w:t>三、实施计划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（一）2017年2月-3月  需求调查阶段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向全市镇街科协发文，收集“倍增计划”试点企业需求信息，了解试点企业人才培养需求。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（二）2017年3-4月  筹备阶段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根据前期所收集的需求情况与企业、讲师联系，确定全年培训工作安排与计划。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   （三）2017年4月-12月 实施、总结阶段</w:t>
      </w:r>
    </w:p>
    <w:p>
      <w:pPr>
        <w:ind w:firstLine="62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根据计划到企业开展培训工作，专人跟踪及时了解培训效果，并根据企业反馈情况调整培训方向。</w:t>
      </w:r>
    </w:p>
    <w:p>
      <w:pPr>
        <w:numPr>
          <w:ilvl w:val="0"/>
          <w:numId w:val="2"/>
        </w:numPr>
        <w:ind w:firstLine="620"/>
        <w:rPr>
          <w:rFonts w:hint="eastAsia" w:ascii="黑体" w:hAnsi="黑体" w:eastAsia="黑体"/>
          <w:b/>
          <w:bCs/>
          <w:sz w:val="31"/>
          <w:szCs w:val="31"/>
        </w:rPr>
      </w:pPr>
      <w:r>
        <w:rPr>
          <w:rFonts w:hint="eastAsia" w:ascii="黑体" w:hAnsi="黑体" w:eastAsia="黑体"/>
          <w:b/>
          <w:bCs/>
          <w:sz w:val="31"/>
          <w:szCs w:val="31"/>
        </w:rPr>
        <w:t>培训主题</w:t>
      </w: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201"/>
        <w:gridCol w:w="3079"/>
        <w:gridCol w:w="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  <w:t>服务内容</w:t>
            </w:r>
          </w:p>
        </w:tc>
        <w:tc>
          <w:tcPr>
            <w:tcW w:w="220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  <w:t>课程方向</w:t>
            </w:r>
          </w:p>
        </w:tc>
        <w:tc>
          <w:tcPr>
            <w:tcW w:w="3094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  <w:t>培训内容</w:t>
            </w:r>
          </w:p>
        </w:tc>
        <w:tc>
          <w:tcPr>
            <w:tcW w:w="156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31" w:type="dxa"/>
            <w:gridSpan w:val="5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2"/>
                <w:szCs w:val="32"/>
              </w:rPr>
              <w:t>专业技能提升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bookmarkStart w:id="0" w:name="OLE_LINK3" w:colFirst="1" w:colLast="3"/>
            <w:r>
              <w:rPr>
                <w:rFonts w:hint="eastAsia" w:ascii="仿宋" w:hAnsi="仿宋" w:eastAsia="仿宋" w:cs="仿宋"/>
              </w:rPr>
              <w:t>创新工程师培养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初级创新工程师培养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1.创新与TRIZ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2.如何正确发现问题、描述问题和解决问题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bookmarkStart w:id="1" w:name="OLE_LINK6" w:colFirst="1" w:colLast="2"/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高级创新工程师培养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1.TRIZ功能分析及工具使用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2.创新案例分析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3.企业技术实例解析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6天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项目管理师培养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项目管理师培养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（项目集管理方向）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1.项目集管理导论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2.项目集的战略一致性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3.项目集过程管理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项目管理师培养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（产品开发方向）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1.新产品开发过程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2.建立商业论证（用户需求分析、竞争者分析、市场分析等）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项目管理师培养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（敏捷项目方向）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1.敏捷项目业务价值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2敏捷项目计划、实施及教练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项目管理师培养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（团队建设方向）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1.项目边界的问题思考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2.项目管理过程总览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3.项目案例解析与演练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专利工程师培养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企业知识产权从业人员技能提升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1.发明创新方法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2.企业知识产权管理实务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3.专利发掘方法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4.技术转移及专利运营实务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  <w:t>人才成长服务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职称晋升服务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普及培训</w:t>
            </w:r>
          </w:p>
        </w:tc>
        <w:tc>
          <w:tcPr>
            <w:tcW w:w="307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职称政策文件解读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材料准备辅导</w:t>
            </w:r>
          </w:p>
        </w:tc>
        <w:tc>
          <w:tcPr>
            <w:tcW w:w="307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1.论文、工作总结等撰写技巧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2.职称申报流程辅导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申报服务</w:t>
            </w:r>
          </w:p>
        </w:tc>
        <w:tc>
          <w:tcPr>
            <w:tcW w:w="307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1.申报系统资料录入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2.申报表格填写技巧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3.答辩技巧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心理健康咨询服务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心理关爱讲座</w:t>
            </w:r>
          </w:p>
        </w:tc>
        <w:tc>
          <w:tcPr>
            <w:tcW w:w="307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1.心理危机识别与干预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2.心理健康自我维护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心理援助咨询</w:t>
            </w:r>
          </w:p>
        </w:tc>
        <w:tc>
          <w:tcPr>
            <w:tcW w:w="307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1.心理诊断技能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2.心理测量技能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3.心理咨询技能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C17D"/>
    <w:multiLevelType w:val="singleLevel"/>
    <w:tmpl w:val="58A3C17D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8AE5B51"/>
    <w:multiLevelType w:val="singleLevel"/>
    <w:tmpl w:val="58AE5B5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47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2017-02-27T06:16:19Z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